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2F" w:rsidRPr="008D312F" w:rsidRDefault="008D312F" w:rsidP="008D312F">
      <w:pPr>
        <w:spacing w:line="480" w:lineRule="exact"/>
        <w:jc w:val="center"/>
        <w:rPr>
          <w:b/>
          <w:sz w:val="28"/>
          <w:szCs w:val="28"/>
        </w:rPr>
      </w:pPr>
      <w:r w:rsidRPr="008D312F">
        <w:rPr>
          <w:b/>
          <w:sz w:val="28"/>
          <w:szCs w:val="28"/>
        </w:rPr>
        <w:t>Mainland and Macao Closer Economic Partnership Arrangement</w:t>
      </w:r>
    </w:p>
    <w:p w:rsidR="008D312F" w:rsidRPr="008D312F" w:rsidRDefault="008D312F" w:rsidP="008D312F">
      <w:pPr>
        <w:spacing w:line="480" w:lineRule="exact"/>
        <w:jc w:val="center"/>
        <w:rPr>
          <w:b/>
          <w:sz w:val="28"/>
          <w:szCs w:val="28"/>
        </w:rPr>
      </w:pPr>
      <w:r w:rsidRPr="008D312F">
        <w:rPr>
          <w:b/>
          <w:sz w:val="28"/>
          <w:szCs w:val="28"/>
        </w:rPr>
        <w:t>Agreement on Trade in Goods</w:t>
      </w:r>
    </w:p>
    <w:p w:rsidR="008D312F" w:rsidRPr="008D312F" w:rsidRDefault="008D312F" w:rsidP="008D312F">
      <w:pPr>
        <w:spacing w:line="480" w:lineRule="exact"/>
        <w:jc w:val="center"/>
        <w:rPr>
          <w:b/>
          <w:sz w:val="28"/>
          <w:szCs w:val="28"/>
        </w:rPr>
      </w:pPr>
      <w:r>
        <w:rPr>
          <w:b/>
          <w:sz w:val="28"/>
          <w:szCs w:val="28"/>
        </w:rPr>
        <w:t>Application</w:t>
      </w:r>
      <w:r w:rsidRPr="008D312F">
        <w:rPr>
          <w:b/>
          <w:sz w:val="28"/>
          <w:szCs w:val="28"/>
        </w:rPr>
        <w:t xml:space="preserve"> for </w:t>
      </w:r>
      <w:r>
        <w:rPr>
          <w:b/>
          <w:sz w:val="28"/>
          <w:szCs w:val="28"/>
        </w:rPr>
        <w:t>r</w:t>
      </w:r>
      <w:r w:rsidRPr="008D312F">
        <w:rPr>
          <w:b/>
          <w:sz w:val="28"/>
          <w:szCs w:val="28"/>
        </w:rPr>
        <w:t xml:space="preserve">equesting </w:t>
      </w:r>
      <w:r>
        <w:rPr>
          <w:b/>
          <w:sz w:val="28"/>
          <w:szCs w:val="28"/>
        </w:rPr>
        <w:t>r</w:t>
      </w:r>
      <w:r w:rsidRPr="008D312F">
        <w:rPr>
          <w:b/>
          <w:sz w:val="28"/>
          <w:szCs w:val="28"/>
        </w:rPr>
        <w:t xml:space="preserve">evisions to </w:t>
      </w:r>
      <w:r w:rsidR="00F95171">
        <w:rPr>
          <w:b/>
          <w:sz w:val="28"/>
          <w:szCs w:val="28"/>
        </w:rPr>
        <w:t>r</w:t>
      </w:r>
      <w:r w:rsidRPr="008D312F">
        <w:rPr>
          <w:b/>
          <w:sz w:val="28"/>
          <w:szCs w:val="28"/>
        </w:rPr>
        <w:t xml:space="preserve">ules of </w:t>
      </w:r>
      <w:r w:rsidR="00F95171">
        <w:rPr>
          <w:b/>
          <w:sz w:val="28"/>
          <w:szCs w:val="28"/>
        </w:rPr>
        <w:t>o</w:t>
      </w:r>
      <w:r w:rsidRPr="008D312F">
        <w:rPr>
          <w:b/>
          <w:sz w:val="28"/>
          <w:szCs w:val="28"/>
        </w:rPr>
        <w:t>rigin</w:t>
      </w:r>
      <w:r>
        <w:rPr>
          <w:b/>
          <w:sz w:val="28"/>
          <w:szCs w:val="28"/>
        </w:rPr>
        <w:t xml:space="preserve"> of goods</w:t>
      </w:r>
    </w:p>
    <w:p w:rsidR="008D312F" w:rsidRPr="008D312F" w:rsidRDefault="008D312F" w:rsidP="008D312F">
      <w:pPr>
        <w:spacing w:line="480" w:lineRule="exact"/>
        <w:jc w:val="center"/>
        <w:rPr>
          <w:sz w:val="28"/>
          <w:szCs w:val="28"/>
        </w:rPr>
      </w:pPr>
    </w:p>
    <w:p w:rsidR="00BE402B" w:rsidRDefault="008D312F" w:rsidP="003D20FA">
      <w:pPr>
        <w:pStyle w:val="aa"/>
        <w:numPr>
          <w:ilvl w:val="0"/>
          <w:numId w:val="7"/>
        </w:numPr>
        <w:spacing w:line="480" w:lineRule="exact"/>
        <w:ind w:leftChars="0"/>
        <w:jc w:val="both"/>
        <w:rPr>
          <w:rFonts w:ascii="Times New Roman" w:hAnsi="Times New Roman"/>
          <w:sz w:val="28"/>
          <w:szCs w:val="28"/>
        </w:rPr>
      </w:pPr>
      <w:r w:rsidRPr="008D312F">
        <w:rPr>
          <w:rFonts w:ascii="Times New Roman" w:hAnsi="Times New Roman"/>
          <w:sz w:val="28"/>
          <w:szCs w:val="28"/>
        </w:rPr>
        <w:t>The Agreement on Trade in Goods (hereinafter referred to as “the Agreement”) of the Mainland and Macao Closer Economic Partnership Arrangement (CEPA) was signed between the Mainland and Macao on 12 December 2018 and has b</w:t>
      </w:r>
    </w:p>
    <w:p w:rsidR="008D312F" w:rsidRPr="008D312F" w:rsidRDefault="008D312F" w:rsidP="003D20FA">
      <w:pPr>
        <w:pStyle w:val="aa"/>
        <w:numPr>
          <w:ilvl w:val="0"/>
          <w:numId w:val="7"/>
        </w:numPr>
        <w:spacing w:line="480" w:lineRule="exact"/>
        <w:ind w:leftChars="0"/>
        <w:jc w:val="both"/>
        <w:rPr>
          <w:rFonts w:ascii="Times New Roman" w:hAnsi="Times New Roman"/>
          <w:sz w:val="28"/>
          <w:szCs w:val="28"/>
        </w:rPr>
      </w:pPr>
      <w:proofErr w:type="spellStart"/>
      <w:proofErr w:type="gramStart"/>
      <w:r w:rsidRPr="008D312F">
        <w:rPr>
          <w:rFonts w:ascii="Times New Roman" w:hAnsi="Times New Roman"/>
          <w:sz w:val="28"/>
          <w:szCs w:val="28"/>
        </w:rPr>
        <w:t>een</w:t>
      </w:r>
      <w:proofErr w:type="spellEnd"/>
      <w:proofErr w:type="gramEnd"/>
      <w:r w:rsidRPr="008D312F">
        <w:rPr>
          <w:rFonts w:ascii="Times New Roman" w:hAnsi="Times New Roman"/>
          <w:sz w:val="28"/>
          <w:szCs w:val="28"/>
        </w:rPr>
        <w:t xml:space="preserve"> implemented since 1 January 2019. According to the Agreement, a good will qualify as originating from Macao if it meets one of the following provisions:</w:t>
      </w:r>
    </w:p>
    <w:p w:rsidR="008D312F" w:rsidRPr="008D312F" w:rsidRDefault="008D312F" w:rsidP="008D312F">
      <w:pPr>
        <w:pStyle w:val="aa"/>
        <w:numPr>
          <w:ilvl w:val="0"/>
          <w:numId w:val="8"/>
        </w:numPr>
        <w:spacing w:line="480" w:lineRule="exact"/>
        <w:ind w:leftChars="0"/>
        <w:jc w:val="both"/>
        <w:rPr>
          <w:rFonts w:ascii="Times New Roman" w:hAnsi="Times New Roman"/>
          <w:sz w:val="28"/>
          <w:szCs w:val="28"/>
        </w:rPr>
      </w:pPr>
      <w:r w:rsidRPr="008D312F">
        <w:rPr>
          <w:rFonts w:ascii="Times New Roman" w:hAnsi="Times New Roman"/>
          <w:sz w:val="28"/>
          <w:szCs w:val="28"/>
        </w:rPr>
        <w:t>the good is wholly obtained or produced in Macao;</w:t>
      </w:r>
    </w:p>
    <w:p w:rsidR="008D312F" w:rsidRPr="008D312F" w:rsidRDefault="008D312F" w:rsidP="008D312F">
      <w:pPr>
        <w:pStyle w:val="aa"/>
        <w:numPr>
          <w:ilvl w:val="0"/>
          <w:numId w:val="8"/>
        </w:numPr>
        <w:spacing w:line="480" w:lineRule="exact"/>
        <w:ind w:leftChars="0"/>
        <w:jc w:val="both"/>
        <w:rPr>
          <w:rFonts w:ascii="Times New Roman" w:hAnsi="Times New Roman"/>
          <w:sz w:val="28"/>
          <w:szCs w:val="28"/>
        </w:rPr>
      </w:pPr>
      <w:r w:rsidRPr="008D312F">
        <w:rPr>
          <w:rFonts w:ascii="Times New Roman" w:hAnsi="Times New Roman"/>
          <w:sz w:val="28"/>
          <w:szCs w:val="28"/>
        </w:rPr>
        <w:t>the good is produced in Macao exclusively from originating materials;</w:t>
      </w:r>
    </w:p>
    <w:p w:rsidR="008D312F" w:rsidRPr="008D312F" w:rsidRDefault="008D312F" w:rsidP="008D312F">
      <w:pPr>
        <w:pStyle w:val="aa"/>
        <w:numPr>
          <w:ilvl w:val="0"/>
          <w:numId w:val="8"/>
        </w:numPr>
        <w:spacing w:line="480" w:lineRule="exact"/>
        <w:ind w:leftChars="0"/>
        <w:jc w:val="both"/>
        <w:rPr>
          <w:rFonts w:ascii="Times New Roman" w:hAnsi="Times New Roman"/>
          <w:sz w:val="28"/>
          <w:szCs w:val="28"/>
        </w:rPr>
      </w:pPr>
      <w:r w:rsidRPr="008D312F">
        <w:rPr>
          <w:rFonts w:ascii="Times New Roman" w:hAnsi="Times New Roman"/>
          <w:sz w:val="28"/>
          <w:szCs w:val="28"/>
        </w:rPr>
        <w:t>the good is produced using non-originating materials in Macao, as well as:</w:t>
      </w:r>
    </w:p>
    <w:p w:rsidR="008D312F" w:rsidRPr="00F9583B" w:rsidRDefault="008D312F" w:rsidP="00F9583B">
      <w:pPr>
        <w:pStyle w:val="aa"/>
        <w:numPr>
          <w:ilvl w:val="0"/>
          <w:numId w:val="9"/>
        </w:numPr>
        <w:spacing w:line="480" w:lineRule="exact"/>
        <w:ind w:leftChars="0" w:left="1315" w:hanging="357"/>
        <w:jc w:val="both"/>
        <w:rPr>
          <w:rFonts w:ascii="Times New Roman" w:hAnsi="Times New Roman"/>
          <w:spacing w:val="-2"/>
          <w:sz w:val="28"/>
          <w:szCs w:val="28"/>
        </w:rPr>
      </w:pPr>
      <w:r w:rsidRPr="00F9583B">
        <w:rPr>
          <w:rFonts w:ascii="Times New Roman" w:hAnsi="Times New Roman"/>
          <w:spacing w:val="-2"/>
          <w:sz w:val="28"/>
          <w:szCs w:val="28"/>
        </w:rPr>
        <w:t xml:space="preserve">the good falls within the scope of the Annex of the Agreement (Product Specific Rules of Origin) (details can be found in the </w:t>
      </w:r>
      <w:r w:rsidR="00F9583B" w:rsidRPr="00F9583B">
        <w:rPr>
          <w:rFonts w:ascii="Times New Roman" w:hAnsi="Times New Roman"/>
          <w:spacing w:val="-2"/>
          <w:sz w:val="28"/>
          <w:szCs w:val="28"/>
        </w:rPr>
        <w:t>Economic and Technological Development Bureau</w:t>
      </w:r>
      <w:r w:rsidRPr="00F9583B">
        <w:rPr>
          <w:rFonts w:ascii="Times New Roman" w:hAnsi="Times New Roman"/>
          <w:spacing w:val="-2"/>
          <w:sz w:val="28"/>
          <w:szCs w:val="28"/>
        </w:rPr>
        <w:t xml:space="preserve"> (DSE</w:t>
      </w:r>
      <w:r w:rsidR="00F9583B" w:rsidRPr="00F9583B">
        <w:rPr>
          <w:rFonts w:ascii="Times New Roman" w:hAnsi="Times New Roman" w:hint="eastAsia"/>
          <w:spacing w:val="-2"/>
          <w:sz w:val="28"/>
          <w:szCs w:val="28"/>
        </w:rPr>
        <w:t>DT</w:t>
      </w:r>
      <w:r w:rsidR="00F9583B" w:rsidRPr="00F9583B">
        <w:rPr>
          <w:rFonts w:ascii="Times New Roman" w:hAnsi="Times New Roman"/>
          <w:spacing w:val="-2"/>
          <w:sz w:val="28"/>
          <w:szCs w:val="28"/>
        </w:rPr>
        <w:t>)’s webpage at:</w:t>
      </w:r>
      <w:r w:rsidR="00F9583B" w:rsidRPr="00F9583B">
        <w:rPr>
          <w:rFonts w:ascii="Times New Roman" w:hAnsi="Times New Roman" w:hint="eastAsia"/>
          <w:spacing w:val="-2"/>
          <w:sz w:val="28"/>
          <w:szCs w:val="28"/>
        </w:rPr>
        <w:t xml:space="preserve"> </w:t>
      </w:r>
      <w:hyperlink r:id="rId8" w:history="1">
        <w:r w:rsidR="00F9583B" w:rsidRPr="00F9583B">
          <w:rPr>
            <w:rStyle w:val="a5"/>
            <w:rFonts w:ascii="Times New Roman" w:hAnsi="Times New Roman"/>
            <w:spacing w:val="-2"/>
            <w:sz w:val="28"/>
            <w:szCs w:val="28"/>
          </w:rPr>
          <w:t>https://www.</w:t>
        </w:r>
        <w:r w:rsidR="00F9583B" w:rsidRPr="00F9583B">
          <w:rPr>
            <w:rStyle w:val="a5"/>
            <w:rFonts w:ascii="Times New Roman" w:hAnsi="Times New Roman" w:hint="eastAsia"/>
            <w:spacing w:val="-2"/>
            <w:sz w:val="28"/>
            <w:szCs w:val="28"/>
          </w:rPr>
          <w:t>dsedt</w:t>
        </w:r>
        <w:r w:rsidR="00F9583B" w:rsidRPr="00F9583B">
          <w:rPr>
            <w:rStyle w:val="a5"/>
            <w:rFonts w:ascii="Times New Roman" w:hAnsi="Times New Roman"/>
            <w:spacing w:val="-2"/>
            <w:sz w:val="28"/>
            <w:szCs w:val="28"/>
          </w:rPr>
          <w:t>.gov.mo/public/data/cepa/tig/attach/005b2d0f887107a3f3e22af58f0651c903da30fa/en/Rules_en.pdf</w:t>
        </w:r>
      </w:hyperlink>
      <w:r w:rsidRPr="00F9583B">
        <w:rPr>
          <w:rFonts w:ascii="Times New Roman" w:hAnsi="Times New Roman"/>
          <w:spacing w:val="-2"/>
          <w:sz w:val="28"/>
          <w:szCs w:val="28"/>
        </w:rPr>
        <w:t>), and complies with the corresponding change in tariff classification, regional value content (RVC), manufacturing or processing operations or other requirements;</w:t>
      </w:r>
    </w:p>
    <w:p w:rsidR="008D312F" w:rsidRPr="008D312F" w:rsidRDefault="008D312F" w:rsidP="008D312F">
      <w:pPr>
        <w:pStyle w:val="aa"/>
        <w:numPr>
          <w:ilvl w:val="0"/>
          <w:numId w:val="9"/>
        </w:numPr>
        <w:spacing w:line="480" w:lineRule="exact"/>
        <w:ind w:leftChars="0"/>
        <w:jc w:val="both"/>
        <w:rPr>
          <w:rFonts w:ascii="Times New Roman" w:hAnsi="Times New Roman"/>
          <w:sz w:val="28"/>
          <w:szCs w:val="28"/>
        </w:rPr>
      </w:pPr>
      <w:proofErr w:type="gramStart"/>
      <w:r w:rsidRPr="008D312F">
        <w:rPr>
          <w:rFonts w:ascii="Times New Roman" w:hAnsi="Times New Roman"/>
          <w:sz w:val="28"/>
          <w:szCs w:val="28"/>
        </w:rPr>
        <w:t>the</w:t>
      </w:r>
      <w:proofErr w:type="gramEnd"/>
      <w:r w:rsidRPr="008D312F">
        <w:rPr>
          <w:rFonts w:ascii="Times New Roman" w:hAnsi="Times New Roman"/>
          <w:sz w:val="28"/>
          <w:szCs w:val="28"/>
        </w:rPr>
        <w:t xml:space="preserve"> good does not fall within the scope of the Annex of the Agreement (Product Specific Rules of Origin), but complies with the requirement that the RVC is greater than or equal to 30% when calculated by the build-up method, or the RVC is greater than or equal to 40% when calculated by the build-down method.</w:t>
      </w:r>
    </w:p>
    <w:p w:rsidR="008D312F" w:rsidRPr="008D312F" w:rsidRDefault="008D312F" w:rsidP="008D312F">
      <w:pPr>
        <w:pStyle w:val="aa"/>
        <w:numPr>
          <w:ilvl w:val="0"/>
          <w:numId w:val="7"/>
        </w:numPr>
        <w:spacing w:line="480" w:lineRule="exact"/>
        <w:ind w:leftChars="0"/>
        <w:jc w:val="both"/>
        <w:rPr>
          <w:rFonts w:ascii="Times New Roman" w:hAnsi="Times New Roman"/>
          <w:sz w:val="28"/>
          <w:szCs w:val="28"/>
        </w:rPr>
      </w:pPr>
      <w:bookmarkStart w:id="0" w:name="_GoBack"/>
      <w:bookmarkEnd w:id="0"/>
      <w:r w:rsidRPr="008D312F">
        <w:rPr>
          <w:rFonts w:ascii="Times New Roman" w:hAnsi="Times New Roman"/>
          <w:sz w:val="28"/>
          <w:szCs w:val="28"/>
        </w:rPr>
        <w:lastRenderedPageBreak/>
        <w:t xml:space="preserve">Under the Agreement, a mechanism for consultations on revising the CEPA </w:t>
      </w:r>
      <w:r w:rsidR="008A0302">
        <w:rPr>
          <w:rFonts w:ascii="Times New Roman" w:hAnsi="Times New Roman"/>
          <w:sz w:val="28"/>
          <w:szCs w:val="28"/>
        </w:rPr>
        <w:t>rule of origin</w:t>
      </w:r>
      <w:r w:rsidRPr="008D312F">
        <w:rPr>
          <w:rFonts w:ascii="Times New Roman" w:hAnsi="Times New Roman"/>
          <w:sz w:val="28"/>
          <w:szCs w:val="28"/>
        </w:rPr>
        <w:t xml:space="preserve"> has been established. If Macao manufacturers need to request revisions to the CEPA </w:t>
      </w:r>
      <w:r w:rsidR="008A0302">
        <w:rPr>
          <w:rFonts w:ascii="Times New Roman" w:hAnsi="Times New Roman"/>
          <w:sz w:val="28"/>
          <w:szCs w:val="28"/>
        </w:rPr>
        <w:t>rule of origin</w:t>
      </w:r>
      <w:r w:rsidRPr="008D312F">
        <w:rPr>
          <w:rFonts w:ascii="Times New Roman" w:hAnsi="Times New Roman"/>
          <w:sz w:val="28"/>
          <w:szCs w:val="28"/>
        </w:rPr>
        <w:t>, they can submit to the DSE</w:t>
      </w:r>
      <w:r w:rsidR="00F9583B">
        <w:rPr>
          <w:rFonts w:ascii="Times New Roman" w:hAnsi="Times New Roman" w:hint="eastAsia"/>
          <w:sz w:val="28"/>
          <w:szCs w:val="28"/>
        </w:rPr>
        <w:t>DT</w:t>
      </w:r>
      <w:r w:rsidRPr="008D312F">
        <w:rPr>
          <w:rFonts w:ascii="Times New Roman" w:hAnsi="Times New Roman"/>
          <w:sz w:val="28"/>
          <w:szCs w:val="28"/>
        </w:rPr>
        <w:t xml:space="preserve"> for revisions to ROOs according to their needs. The detailed implementation arrangements are as follows:</w:t>
      </w:r>
    </w:p>
    <w:p w:rsidR="008D312F" w:rsidRPr="008D312F" w:rsidRDefault="008D312F" w:rsidP="008D312F">
      <w:pPr>
        <w:spacing w:line="480" w:lineRule="exact"/>
        <w:jc w:val="both"/>
        <w:rPr>
          <w:sz w:val="28"/>
          <w:szCs w:val="28"/>
        </w:rPr>
      </w:pPr>
    </w:p>
    <w:p w:rsidR="008D312F" w:rsidRPr="008D312F" w:rsidRDefault="008A0302" w:rsidP="008D312F">
      <w:pPr>
        <w:spacing w:line="480" w:lineRule="exact"/>
        <w:ind w:left="360"/>
        <w:jc w:val="both"/>
        <w:rPr>
          <w:sz w:val="28"/>
          <w:szCs w:val="28"/>
        </w:rPr>
      </w:pPr>
      <w:r>
        <w:rPr>
          <w:sz w:val="28"/>
          <w:szCs w:val="28"/>
        </w:rPr>
        <w:t>I</w:t>
      </w:r>
      <w:r w:rsidR="008D312F" w:rsidRPr="008D312F">
        <w:rPr>
          <w:sz w:val="28"/>
          <w:szCs w:val="28"/>
        </w:rPr>
        <w:t>n 2019:</w:t>
      </w:r>
    </w:p>
    <w:p w:rsidR="008D312F" w:rsidRPr="008D312F" w:rsidRDefault="008D312F" w:rsidP="008D312F">
      <w:pPr>
        <w:pStyle w:val="aa"/>
        <w:numPr>
          <w:ilvl w:val="0"/>
          <w:numId w:val="10"/>
        </w:numPr>
        <w:tabs>
          <w:tab w:val="left" w:pos="4962"/>
        </w:tabs>
        <w:spacing w:line="480" w:lineRule="exact"/>
        <w:ind w:leftChars="0"/>
        <w:jc w:val="both"/>
        <w:rPr>
          <w:rFonts w:ascii="Times New Roman" w:hAnsi="Times New Roman"/>
          <w:sz w:val="28"/>
          <w:szCs w:val="28"/>
        </w:rPr>
      </w:pPr>
      <w:r w:rsidRPr="008D312F">
        <w:rPr>
          <w:rFonts w:ascii="Times New Roman" w:hAnsi="Times New Roman"/>
          <w:sz w:val="28"/>
          <w:szCs w:val="28"/>
        </w:rPr>
        <w:t>Macao manufacturers submit the requests for revisions (</w:t>
      </w:r>
      <w:hyperlink r:id="rId9" w:history="1">
        <w:r w:rsidRPr="00794152">
          <w:rPr>
            <w:rStyle w:val="a5"/>
            <w:rFonts w:ascii="Times New Roman" w:hAnsi="Times New Roman"/>
            <w:sz w:val="28"/>
            <w:szCs w:val="28"/>
          </w:rPr>
          <w:t>request form</w:t>
        </w:r>
      </w:hyperlink>
      <w:r w:rsidRPr="008D312F">
        <w:rPr>
          <w:rFonts w:ascii="Times New Roman" w:hAnsi="Times New Roman"/>
          <w:sz w:val="28"/>
          <w:szCs w:val="28"/>
        </w:rPr>
        <w:t xml:space="preserve"> available for download at the DSE</w:t>
      </w:r>
      <w:r w:rsidR="00F9583B">
        <w:rPr>
          <w:rFonts w:ascii="Times New Roman" w:hAnsi="Times New Roman" w:hint="eastAsia"/>
          <w:sz w:val="28"/>
          <w:szCs w:val="28"/>
        </w:rPr>
        <w:t>DT</w:t>
      </w:r>
      <w:r w:rsidRPr="008D312F">
        <w:rPr>
          <w:rFonts w:ascii="Times New Roman" w:hAnsi="Times New Roman"/>
          <w:sz w:val="28"/>
          <w:szCs w:val="28"/>
        </w:rPr>
        <w:t xml:space="preserve"> website) prior to 1 July, 1 September and 1 November respectively to the DSE</w:t>
      </w:r>
      <w:r w:rsidR="00F9583B">
        <w:rPr>
          <w:rFonts w:ascii="Times New Roman" w:hAnsi="Times New Roman" w:hint="eastAsia"/>
          <w:sz w:val="28"/>
          <w:szCs w:val="28"/>
        </w:rPr>
        <w:t>DT</w:t>
      </w:r>
      <w:r w:rsidRPr="008D312F">
        <w:rPr>
          <w:rFonts w:ascii="Times New Roman" w:hAnsi="Times New Roman"/>
          <w:sz w:val="28"/>
          <w:szCs w:val="28"/>
        </w:rPr>
        <w:t>, which will submit the certified requests to revision to the Mainland.</w:t>
      </w:r>
    </w:p>
    <w:p w:rsidR="008D312F" w:rsidRPr="008D312F" w:rsidRDefault="008D312F" w:rsidP="008D312F">
      <w:pPr>
        <w:pStyle w:val="aa"/>
        <w:numPr>
          <w:ilvl w:val="0"/>
          <w:numId w:val="10"/>
        </w:numPr>
        <w:tabs>
          <w:tab w:val="left" w:pos="4962"/>
        </w:tabs>
        <w:spacing w:line="480" w:lineRule="exact"/>
        <w:ind w:leftChars="0"/>
        <w:jc w:val="both"/>
        <w:rPr>
          <w:rFonts w:ascii="Times New Roman" w:hAnsi="Times New Roman"/>
          <w:sz w:val="28"/>
          <w:szCs w:val="28"/>
        </w:rPr>
      </w:pPr>
      <w:r w:rsidRPr="008D312F">
        <w:rPr>
          <w:rFonts w:ascii="Times New Roman" w:hAnsi="Times New Roman"/>
          <w:sz w:val="28"/>
          <w:szCs w:val="28"/>
        </w:rPr>
        <w:t xml:space="preserve">Upon the completion of the consultations, the two sides will include the revised CEPA </w:t>
      </w:r>
      <w:r w:rsidR="008A0302">
        <w:rPr>
          <w:rFonts w:ascii="Times New Roman" w:hAnsi="Times New Roman"/>
          <w:sz w:val="28"/>
          <w:szCs w:val="28"/>
        </w:rPr>
        <w:t>rule of origin</w:t>
      </w:r>
      <w:r w:rsidRPr="008D312F">
        <w:rPr>
          <w:rFonts w:ascii="Times New Roman" w:hAnsi="Times New Roman"/>
          <w:sz w:val="28"/>
          <w:szCs w:val="28"/>
        </w:rPr>
        <w:t xml:space="preserve"> in the Annex of the Agreement (Product Specific Rules of Origin), and promulgate them.</w:t>
      </w:r>
    </w:p>
    <w:p w:rsidR="008D312F" w:rsidRPr="008D312F" w:rsidRDefault="008D312F" w:rsidP="008D312F">
      <w:pPr>
        <w:pStyle w:val="aa"/>
        <w:numPr>
          <w:ilvl w:val="0"/>
          <w:numId w:val="10"/>
        </w:numPr>
        <w:spacing w:line="480" w:lineRule="exact"/>
        <w:ind w:leftChars="0"/>
        <w:jc w:val="both"/>
        <w:rPr>
          <w:rFonts w:ascii="Times New Roman" w:hAnsi="Times New Roman"/>
          <w:sz w:val="28"/>
          <w:szCs w:val="28"/>
        </w:rPr>
      </w:pPr>
      <w:r w:rsidRPr="008D312F">
        <w:rPr>
          <w:rFonts w:ascii="Times New Roman" w:hAnsi="Times New Roman"/>
          <w:sz w:val="28"/>
          <w:szCs w:val="28"/>
        </w:rPr>
        <w:t xml:space="preserve">The revised CEPA </w:t>
      </w:r>
      <w:r w:rsidR="008A0302">
        <w:rPr>
          <w:rFonts w:ascii="Times New Roman" w:hAnsi="Times New Roman"/>
          <w:sz w:val="28"/>
          <w:szCs w:val="28"/>
        </w:rPr>
        <w:t>rule of origin</w:t>
      </w:r>
      <w:r w:rsidRPr="008D312F">
        <w:rPr>
          <w:rFonts w:ascii="Times New Roman" w:hAnsi="Times New Roman"/>
          <w:sz w:val="28"/>
          <w:szCs w:val="28"/>
        </w:rPr>
        <w:t xml:space="preserve"> shall be implemented no later than 1 October and 1 December this year and 1 February 2020 respectively.</w:t>
      </w:r>
    </w:p>
    <w:p w:rsidR="008D312F" w:rsidRPr="008D312F" w:rsidRDefault="008D312F" w:rsidP="008D312F">
      <w:pPr>
        <w:spacing w:line="480" w:lineRule="exact"/>
        <w:jc w:val="both"/>
        <w:rPr>
          <w:sz w:val="28"/>
          <w:szCs w:val="28"/>
        </w:rPr>
      </w:pPr>
    </w:p>
    <w:p w:rsidR="008D312F" w:rsidRPr="008D312F" w:rsidRDefault="003A7AA9" w:rsidP="008D312F">
      <w:pPr>
        <w:spacing w:line="480" w:lineRule="exact"/>
        <w:ind w:left="360"/>
        <w:jc w:val="both"/>
        <w:rPr>
          <w:sz w:val="28"/>
          <w:szCs w:val="28"/>
        </w:rPr>
      </w:pPr>
      <w:r>
        <w:rPr>
          <w:sz w:val="28"/>
          <w:szCs w:val="28"/>
        </w:rPr>
        <w:t>I</w:t>
      </w:r>
      <w:r w:rsidR="008D312F" w:rsidRPr="008D312F">
        <w:rPr>
          <w:sz w:val="28"/>
          <w:szCs w:val="28"/>
        </w:rPr>
        <w:t>n 2020 and onwards:</w:t>
      </w:r>
    </w:p>
    <w:p w:rsidR="008D312F" w:rsidRPr="008D312F" w:rsidRDefault="008D312F" w:rsidP="008D312F">
      <w:pPr>
        <w:pStyle w:val="aa"/>
        <w:numPr>
          <w:ilvl w:val="0"/>
          <w:numId w:val="11"/>
        </w:numPr>
        <w:tabs>
          <w:tab w:val="left" w:pos="4962"/>
        </w:tabs>
        <w:spacing w:line="480" w:lineRule="exact"/>
        <w:ind w:leftChars="0"/>
        <w:jc w:val="both"/>
        <w:rPr>
          <w:rFonts w:ascii="Times New Roman" w:hAnsi="Times New Roman"/>
          <w:sz w:val="28"/>
          <w:szCs w:val="28"/>
        </w:rPr>
      </w:pPr>
      <w:r w:rsidRPr="008D312F">
        <w:rPr>
          <w:rFonts w:ascii="Times New Roman" w:hAnsi="Times New Roman"/>
          <w:sz w:val="28"/>
          <w:szCs w:val="28"/>
        </w:rPr>
        <w:t xml:space="preserve">Macao manufacturers submit the requests for revisions </w:t>
      </w:r>
      <w:hyperlink r:id="rId10" w:history="1">
        <w:r w:rsidRPr="00794152">
          <w:rPr>
            <w:rStyle w:val="a5"/>
            <w:rFonts w:ascii="Times New Roman" w:hAnsi="Times New Roman"/>
            <w:sz w:val="28"/>
            <w:szCs w:val="28"/>
          </w:rPr>
          <w:t>(request form</w:t>
        </w:r>
      </w:hyperlink>
      <w:r w:rsidRPr="008D312F">
        <w:rPr>
          <w:rFonts w:ascii="Times New Roman" w:hAnsi="Times New Roman"/>
          <w:sz w:val="28"/>
          <w:szCs w:val="28"/>
        </w:rPr>
        <w:t xml:space="preserve"> available for download at the DSE</w:t>
      </w:r>
      <w:r w:rsidR="00F9583B">
        <w:rPr>
          <w:rFonts w:ascii="Times New Roman" w:hAnsi="Times New Roman" w:hint="eastAsia"/>
          <w:sz w:val="28"/>
          <w:szCs w:val="28"/>
        </w:rPr>
        <w:t>DT</w:t>
      </w:r>
      <w:r w:rsidRPr="008D312F">
        <w:rPr>
          <w:rFonts w:ascii="Times New Roman" w:hAnsi="Times New Roman"/>
          <w:sz w:val="28"/>
          <w:szCs w:val="28"/>
        </w:rPr>
        <w:t xml:space="preserve"> website) prior to 1 March and 1 S</w:t>
      </w:r>
      <w:r w:rsidR="00F9583B">
        <w:rPr>
          <w:rFonts w:ascii="Times New Roman" w:hAnsi="Times New Roman"/>
          <w:sz w:val="28"/>
          <w:szCs w:val="28"/>
        </w:rPr>
        <w:t>eptember respectively to the DS</w:t>
      </w:r>
      <w:r w:rsidR="00F9583B">
        <w:rPr>
          <w:rFonts w:ascii="Times New Roman" w:hAnsi="Times New Roman" w:hint="eastAsia"/>
          <w:sz w:val="28"/>
          <w:szCs w:val="28"/>
        </w:rPr>
        <w:t>EDT</w:t>
      </w:r>
      <w:r w:rsidRPr="008D312F">
        <w:rPr>
          <w:rFonts w:ascii="Times New Roman" w:hAnsi="Times New Roman"/>
          <w:sz w:val="28"/>
          <w:szCs w:val="28"/>
        </w:rPr>
        <w:t>, which will submit the certified requests to revision to the Mainland.</w:t>
      </w:r>
    </w:p>
    <w:p w:rsidR="008D312F" w:rsidRPr="008D312F" w:rsidRDefault="008D312F" w:rsidP="003D20FA">
      <w:pPr>
        <w:pStyle w:val="aa"/>
        <w:numPr>
          <w:ilvl w:val="0"/>
          <w:numId w:val="11"/>
        </w:numPr>
        <w:tabs>
          <w:tab w:val="left" w:pos="4962"/>
        </w:tabs>
        <w:spacing w:line="480" w:lineRule="exact"/>
        <w:ind w:leftChars="0" w:left="714" w:hanging="357"/>
        <w:jc w:val="both"/>
        <w:rPr>
          <w:rFonts w:ascii="Times New Roman" w:hAnsi="Times New Roman"/>
          <w:sz w:val="28"/>
          <w:szCs w:val="28"/>
        </w:rPr>
      </w:pPr>
      <w:r w:rsidRPr="008D312F">
        <w:rPr>
          <w:rFonts w:ascii="Times New Roman" w:hAnsi="Times New Roman"/>
          <w:sz w:val="28"/>
          <w:szCs w:val="28"/>
        </w:rPr>
        <w:t xml:space="preserve">Upon the completion of the consultations, the two sides will include the revised CEPA </w:t>
      </w:r>
      <w:r w:rsidR="003A7AA9">
        <w:rPr>
          <w:rFonts w:ascii="Times New Roman" w:hAnsi="Times New Roman"/>
          <w:sz w:val="28"/>
          <w:szCs w:val="28"/>
        </w:rPr>
        <w:t>rule of origin</w:t>
      </w:r>
      <w:r w:rsidRPr="008D312F">
        <w:rPr>
          <w:rFonts w:ascii="Times New Roman" w:hAnsi="Times New Roman"/>
          <w:sz w:val="28"/>
          <w:szCs w:val="28"/>
        </w:rPr>
        <w:t xml:space="preserve"> in the Annex of the Agreement (Product Specific Rules of Origin), and promulgate them.</w:t>
      </w:r>
    </w:p>
    <w:p w:rsidR="008D312F" w:rsidRPr="008D312F" w:rsidRDefault="008D312F" w:rsidP="008D312F">
      <w:pPr>
        <w:pStyle w:val="aa"/>
        <w:numPr>
          <w:ilvl w:val="0"/>
          <w:numId w:val="11"/>
        </w:numPr>
        <w:tabs>
          <w:tab w:val="left" w:pos="4962"/>
        </w:tabs>
        <w:spacing w:line="480" w:lineRule="exact"/>
        <w:ind w:leftChars="0"/>
        <w:jc w:val="both"/>
        <w:rPr>
          <w:rFonts w:ascii="Times New Roman" w:hAnsi="Times New Roman"/>
          <w:sz w:val="28"/>
          <w:szCs w:val="28"/>
        </w:rPr>
      </w:pPr>
      <w:r w:rsidRPr="008D312F">
        <w:rPr>
          <w:rFonts w:ascii="Times New Roman" w:hAnsi="Times New Roman"/>
          <w:sz w:val="28"/>
          <w:szCs w:val="28"/>
        </w:rPr>
        <w:t xml:space="preserve">The revised CEPA </w:t>
      </w:r>
      <w:r w:rsidR="00C60D47">
        <w:rPr>
          <w:rFonts w:ascii="Times New Roman" w:hAnsi="Times New Roman"/>
          <w:sz w:val="28"/>
          <w:szCs w:val="28"/>
        </w:rPr>
        <w:t>rule of origin</w:t>
      </w:r>
      <w:r w:rsidRPr="008D312F">
        <w:rPr>
          <w:rFonts w:ascii="Times New Roman" w:hAnsi="Times New Roman"/>
          <w:sz w:val="28"/>
          <w:szCs w:val="28"/>
        </w:rPr>
        <w:t xml:space="preserve"> shall be implemented no later than 1 July of the year in which the requests are submitted and 1 January of the following year respectively.</w:t>
      </w:r>
    </w:p>
    <w:p w:rsidR="008D312F" w:rsidRPr="008D312F" w:rsidRDefault="008D312F" w:rsidP="008D312F">
      <w:pPr>
        <w:tabs>
          <w:tab w:val="left" w:pos="4962"/>
        </w:tabs>
        <w:spacing w:line="480" w:lineRule="exact"/>
        <w:jc w:val="both"/>
        <w:rPr>
          <w:sz w:val="28"/>
          <w:szCs w:val="28"/>
        </w:rPr>
      </w:pPr>
    </w:p>
    <w:p w:rsidR="003D20FA" w:rsidRPr="00D83A95" w:rsidRDefault="003D20FA" w:rsidP="003D20FA">
      <w:pPr>
        <w:pStyle w:val="aa"/>
        <w:numPr>
          <w:ilvl w:val="0"/>
          <w:numId w:val="7"/>
        </w:numPr>
        <w:spacing w:line="480" w:lineRule="exact"/>
        <w:ind w:leftChars="0" w:rightChars="-41" w:right="-98"/>
        <w:jc w:val="both"/>
        <w:rPr>
          <w:rFonts w:ascii="Times New Roman" w:hAnsi="Times New Roman"/>
          <w:color w:val="000000" w:themeColor="text1"/>
          <w:sz w:val="28"/>
          <w:szCs w:val="28"/>
        </w:rPr>
      </w:pPr>
      <w:r w:rsidRPr="00D83A95">
        <w:rPr>
          <w:rFonts w:ascii="Times New Roman" w:hAnsi="Times New Roman"/>
          <w:color w:val="000000" w:themeColor="text1"/>
          <w:sz w:val="28"/>
          <w:szCs w:val="28"/>
        </w:rPr>
        <w:lastRenderedPageBreak/>
        <w:t>Consultation services and submission of request form</w:t>
      </w:r>
    </w:p>
    <w:p w:rsidR="003D20FA" w:rsidRPr="003D20FA" w:rsidRDefault="003D20FA" w:rsidP="003D20FA">
      <w:pPr>
        <w:spacing w:line="480" w:lineRule="exact"/>
        <w:ind w:leftChars="118" w:left="283" w:rightChars="-41" w:right="-98"/>
        <w:jc w:val="both"/>
        <w:rPr>
          <w:color w:val="000000" w:themeColor="text1"/>
          <w:sz w:val="28"/>
          <w:szCs w:val="28"/>
        </w:rPr>
      </w:pPr>
      <w:r w:rsidRPr="003D20FA">
        <w:rPr>
          <w:color w:val="000000" w:themeColor="text1"/>
          <w:sz w:val="28"/>
          <w:szCs w:val="28"/>
        </w:rPr>
        <w:t>You may consult with and submit the request form to the DSE</w:t>
      </w:r>
      <w:r w:rsidR="00F9583B">
        <w:rPr>
          <w:rFonts w:hint="eastAsia"/>
          <w:color w:val="000000" w:themeColor="text1"/>
          <w:sz w:val="28"/>
          <w:szCs w:val="28"/>
        </w:rPr>
        <w:t>DT</w:t>
      </w:r>
      <w:r w:rsidRPr="003D20FA">
        <w:rPr>
          <w:color w:val="000000" w:themeColor="text1"/>
          <w:sz w:val="28"/>
          <w:szCs w:val="28"/>
        </w:rPr>
        <w:t xml:space="preserve">’s Foreign Trade Division. Address: </w:t>
      </w:r>
      <w:proofErr w:type="spellStart"/>
      <w:r w:rsidRPr="003D20FA">
        <w:rPr>
          <w:color w:val="000000" w:themeColor="text1"/>
          <w:sz w:val="28"/>
          <w:szCs w:val="28"/>
        </w:rPr>
        <w:t>Rua</w:t>
      </w:r>
      <w:proofErr w:type="spellEnd"/>
      <w:r w:rsidRPr="003D20FA">
        <w:rPr>
          <w:color w:val="000000" w:themeColor="text1"/>
          <w:sz w:val="28"/>
          <w:szCs w:val="28"/>
        </w:rPr>
        <w:t xml:space="preserve"> Dr. Pedro José Lobo, 1-3, </w:t>
      </w:r>
      <w:proofErr w:type="spellStart"/>
      <w:r w:rsidRPr="003D20FA">
        <w:rPr>
          <w:color w:val="000000" w:themeColor="text1"/>
          <w:sz w:val="28"/>
          <w:szCs w:val="28"/>
        </w:rPr>
        <w:t>Luso</w:t>
      </w:r>
      <w:proofErr w:type="spellEnd"/>
      <w:r w:rsidRPr="003D20FA">
        <w:rPr>
          <w:color w:val="000000" w:themeColor="text1"/>
          <w:sz w:val="28"/>
          <w:szCs w:val="28"/>
        </w:rPr>
        <w:t xml:space="preserve"> International Bank Building, 2/F, Macao. Telephone: (853) 85972328/85972342. Fax: (853) 28715633. E-mail: </w:t>
      </w:r>
      <w:hyperlink r:id="rId11" w:history="1">
        <w:r w:rsidR="00F9583B" w:rsidRPr="00F70CAF">
          <w:rPr>
            <w:rStyle w:val="a5"/>
            <w:rFonts w:eastAsiaTheme="majorEastAsia"/>
            <w:sz w:val="28"/>
            <w:szCs w:val="28"/>
          </w:rPr>
          <w:t>dcecodce@</w:t>
        </w:r>
        <w:r w:rsidR="00F9583B" w:rsidRPr="00F70CAF">
          <w:rPr>
            <w:rStyle w:val="a5"/>
            <w:rFonts w:eastAsiaTheme="majorEastAsia" w:hint="eastAsia"/>
            <w:sz w:val="28"/>
            <w:szCs w:val="28"/>
          </w:rPr>
          <w:t>dsedt</w:t>
        </w:r>
        <w:r w:rsidR="00F9583B" w:rsidRPr="00F70CAF">
          <w:rPr>
            <w:rStyle w:val="a5"/>
            <w:rFonts w:eastAsiaTheme="majorEastAsia"/>
            <w:sz w:val="28"/>
            <w:szCs w:val="28"/>
          </w:rPr>
          <w:t>.gov.mo</w:t>
        </w:r>
      </w:hyperlink>
      <w:r w:rsidRPr="003D20FA">
        <w:rPr>
          <w:color w:val="000000" w:themeColor="text1"/>
          <w:sz w:val="28"/>
          <w:szCs w:val="28"/>
        </w:rPr>
        <w:t>.</w:t>
      </w:r>
    </w:p>
    <w:p w:rsidR="008D312F" w:rsidRPr="008D312F" w:rsidRDefault="008D312F" w:rsidP="008D312F">
      <w:pPr>
        <w:tabs>
          <w:tab w:val="left" w:pos="4962"/>
        </w:tabs>
        <w:spacing w:line="480" w:lineRule="exact"/>
        <w:jc w:val="both"/>
        <w:rPr>
          <w:sz w:val="28"/>
          <w:szCs w:val="28"/>
        </w:rPr>
      </w:pPr>
    </w:p>
    <w:p w:rsidR="00346044" w:rsidRPr="008D312F" w:rsidRDefault="00346044" w:rsidP="008D312F">
      <w:pPr>
        <w:spacing w:line="480" w:lineRule="exact"/>
        <w:ind w:leftChars="-150" w:left="-360" w:rightChars="-41" w:right="-98" w:firstLineChars="200" w:firstLine="560"/>
        <w:jc w:val="both"/>
        <w:rPr>
          <w:sz w:val="28"/>
          <w:szCs w:val="28"/>
        </w:rPr>
      </w:pPr>
    </w:p>
    <w:sectPr w:rsidR="00346044" w:rsidRPr="008D312F" w:rsidSect="00C46FFA">
      <w:pgSz w:w="11906" w:h="16838"/>
      <w:pgMar w:top="1440" w:right="1274"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D5" w:rsidRDefault="004479D5" w:rsidP="00D06B98">
      <w:r>
        <w:separator/>
      </w:r>
    </w:p>
  </w:endnote>
  <w:endnote w:type="continuationSeparator" w:id="0">
    <w:p w:rsidR="004479D5" w:rsidRDefault="004479D5" w:rsidP="00D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D5" w:rsidRDefault="004479D5" w:rsidP="00D06B98">
      <w:r>
        <w:separator/>
      </w:r>
    </w:p>
  </w:footnote>
  <w:footnote w:type="continuationSeparator" w:id="0">
    <w:p w:rsidR="004479D5" w:rsidRDefault="004479D5" w:rsidP="00D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421"/>
    <w:multiLevelType w:val="hybridMultilevel"/>
    <w:tmpl w:val="1B863ED8"/>
    <w:lvl w:ilvl="0" w:tplc="AED8FF4E">
      <w:numFmt w:val="bullet"/>
      <w:lvlText w:val="-"/>
      <w:lvlJc w:val="left"/>
      <w:pPr>
        <w:tabs>
          <w:tab w:val="num" w:pos="990"/>
        </w:tabs>
        <w:ind w:left="990" w:hanging="360"/>
      </w:pPr>
      <w:rPr>
        <w:rFonts w:ascii="Times New Roman" w:eastAsia="新細明體" w:hAnsi="Times New Roman" w:cs="Times New Roman" w:hint="default"/>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1">
    <w:nsid w:val="0D6A5A22"/>
    <w:multiLevelType w:val="hybridMultilevel"/>
    <w:tmpl w:val="86224358"/>
    <w:lvl w:ilvl="0" w:tplc="F2CE498C">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09B33E8"/>
    <w:multiLevelType w:val="hybridMultilevel"/>
    <w:tmpl w:val="EE2EDEC0"/>
    <w:lvl w:ilvl="0" w:tplc="72524636">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nsid w:val="16C8292A"/>
    <w:multiLevelType w:val="hybridMultilevel"/>
    <w:tmpl w:val="9D36BE92"/>
    <w:lvl w:ilvl="0" w:tplc="D5E426C4">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
    <w:nsid w:val="1BCD309D"/>
    <w:multiLevelType w:val="hybridMultilevel"/>
    <w:tmpl w:val="F448F43C"/>
    <w:lvl w:ilvl="0" w:tplc="65943AE0">
      <w:start w:val="1"/>
      <w:numFmt w:val="decimal"/>
      <w:lvlText w:val="(%1)"/>
      <w:lvlJc w:val="left"/>
      <w:pPr>
        <w:ind w:left="1320" w:hanging="36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
    <w:nsid w:val="30D21704"/>
    <w:multiLevelType w:val="multilevel"/>
    <w:tmpl w:val="A39AD706"/>
    <w:lvl w:ilvl="0">
      <w:start w:val="1"/>
      <w:numFmt w:val="taiwaneseCountingThousand"/>
      <w:lvlText w:val="%1."/>
      <w:lvlJc w:val="left"/>
      <w:pPr>
        <w:tabs>
          <w:tab w:val="num" w:pos="927"/>
        </w:tabs>
        <w:ind w:left="425" w:firstLine="142"/>
      </w:pPr>
      <w:rPr>
        <w:rFonts w:hint="eastAsia"/>
      </w:rPr>
    </w:lvl>
    <w:lvl w:ilvl="1">
      <w:start w:val="1"/>
      <w:numFmt w:val="lowerRoman"/>
      <w:lvlText w:val="%2."/>
      <w:lvlJc w:val="left"/>
      <w:pPr>
        <w:tabs>
          <w:tab w:val="num" w:pos="1304"/>
        </w:tabs>
        <w:ind w:left="1304" w:hanging="73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44257610"/>
    <w:multiLevelType w:val="hybridMultilevel"/>
    <w:tmpl w:val="9DE4B588"/>
    <w:lvl w:ilvl="0" w:tplc="5D38871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469D3982"/>
    <w:multiLevelType w:val="hybridMultilevel"/>
    <w:tmpl w:val="4F40CE58"/>
    <w:lvl w:ilvl="0" w:tplc="8B42C6BC">
      <w:start w:val="1"/>
      <w:numFmt w:val="decimal"/>
      <w:lvlText w:val="(%1)"/>
      <w:lvlJc w:val="left"/>
      <w:pPr>
        <w:ind w:left="720" w:hanging="720"/>
      </w:pPr>
      <w:rPr>
        <w:rFonts w:ascii="Times New Roman" w:hAnsi="Times New Roman"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7B87D70"/>
    <w:multiLevelType w:val="hybridMultilevel"/>
    <w:tmpl w:val="EE2EDEC0"/>
    <w:lvl w:ilvl="0" w:tplc="72524636">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9">
    <w:nsid w:val="79DD720E"/>
    <w:multiLevelType w:val="hybridMultilevel"/>
    <w:tmpl w:val="A9849DF8"/>
    <w:lvl w:ilvl="0" w:tplc="7E7A6E16">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5"/>
  </w:num>
  <w:num w:numId="2">
    <w:abstractNumId w:val="3"/>
  </w:num>
  <w:num w:numId="3">
    <w:abstractNumId w:val="6"/>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3272B"/>
    <w:rsid w:val="00040A49"/>
    <w:rsid w:val="000907A2"/>
    <w:rsid w:val="000A7869"/>
    <w:rsid w:val="00127951"/>
    <w:rsid w:val="0014539B"/>
    <w:rsid w:val="001819C8"/>
    <w:rsid w:val="0018267E"/>
    <w:rsid w:val="001D20BE"/>
    <w:rsid w:val="001D3A9D"/>
    <w:rsid w:val="001E6876"/>
    <w:rsid w:val="00205480"/>
    <w:rsid w:val="00222AA8"/>
    <w:rsid w:val="00230F4F"/>
    <w:rsid w:val="00277E0C"/>
    <w:rsid w:val="002B53E2"/>
    <w:rsid w:val="002E6572"/>
    <w:rsid w:val="00346044"/>
    <w:rsid w:val="00357710"/>
    <w:rsid w:val="003A7AA9"/>
    <w:rsid w:val="003D20FA"/>
    <w:rsid w:val="003E6658"/>
    <w:rsid w:val="00414DE2"/>
    <w:rsid w:val="004479D5"/>
    <w:rsid w:val="004662CC"/>
    <w:rsid w:val="004802DE"/>
    <w:rsid w:val="00486120"/>
    <w:rsid w:val="00496F20"/>
    <w:rsid w:val="004D4FD7"/>
    <w:rsid w:val="004D612F"/>
    <w:rsid w:val="004E7FAC"/>
    <w:rsid w:val="00502932"/>
    <w:rsid w:val="005218D3"/>
    <w:rsid w:val="00535C28"/>
    <w:rsid w:val="00567221"/>
    <w:rsid w:val="005F15C1"/>
    <w:rsid w:val="005F39E1"/>
    <w:rsid w:val="0062106E"/>
    <w:rsid w:val="0065083F"/>
    <w:rsid w:val="006545D4"/>
    <w:rsid w:val="00671765"/>
    <w:rsid w:val="006A733E"/>
    <w:rsid w:val="00775040"/>
    <w:rsid w:val="00794152"/>
    <w:rsid w:val="008A0302"/>
    <w:rsid w:val="008C2BEA"/>
    <w:rsid w:val="008D312F"/>
    <w:rsid w:val="008F3BA9"/>
    <w:rsid w:val="008F4466"/>
    <w:rsid w:val="00924FEB"/>
    <w:rsid w:val="00956574"/>
    <w:rsid w:val="00957260"/>
    <w:rsid w:val="00964A24"/>
    <w:rsid w:val="009F52B7"/>
    <w:rsid w:val="00A02AC0"/>
    <w:rsid w:val="00A136E0"/>
    <w:rsid w:val="00A5004E"/>
    <w:rsid w:val="00A6292D"/>
    <w:rsid w:val="00AD1D10"/>
    <w:rsid w:val="00AD683F"/>
    <w:rsid w:val="00B2577D"/>
    <w:rsid w:val="00B654CF"/>
    <w:rsid w:val="00BC5337"/>
    <w:rsid w:val="00BD49D4"/>
    <w:rsid w:val="00BE402B"/>
    <w:rsid w:val="00C011FE"/>
    <w:rsid w:val="00C43C93"/>
    <w:rsid w:val="00C46FFA"/>
    <w:rsid w:val="00C5797F"/>
    <w:rsid w:val="00C60D47"/>
    <w:rsid w:val="00C90DB2"/>
    <w:rsid w:val="00CC08E9"/>
    <w:rsid w:val="00CC2B66"/>
    <w:rsid w:val="00D06B98"/>
    <w:rsid w:val="00D20B0D"/>
    <w:rsid w:val="00D32ED1"/>
    <w:rsid w:val="00D83A95"/>
    <w:rsid w:val="00DD5D3E"/>
    <w:rsid w:val="00DF2C8C"/>
    <w:rsid w:val="00E0419B"/>
    <w:rsid w:val="00E065F9"/>
    <w:rsid w:val="00E16E5E"/>
    <w:rsid w:val="00E27EC7"/>
    <w:rsid w:val="00E5320A"/>
    <w:rsid w:val="00E62841"/>
    <w:rsid w:val="00EC5F0C"/>
    <w:rsid w:val="00EF52DC"/>
    <w:rsid w:val="00F32D60"/>
    <w:rsid w:val="00F4446F"/>
    <w:rsid w:val="00F75172"/>
    <w:rsid w:val="00F95171"/>
    <w:rsid w:val="00F958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44"/>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044"/>
    <w:pPr>
      <w:jc w:val="center"/>
    </w:pPr>
    <w:rPr>
      <w:sz w:val="32"/>
    </w:rPr>
  </w:style>
  <w:style w:type="character" w:customStyle="1" w:styleId="a4">
    <w:name w:val="本文 字元"/>
    <w:basedOn w:val="a0"/>
    <w:link w:val="a3"/>
    <w:rsid w:val="00346044"/>
    <w:rPr>
      <w:rFonts w:ascii="Times New Roman" w:eastAsia="新細明體" w:hAnsi="Times New Roman" w:cs="Times New Roman"/>
      <w:sz w:val="32"/>
      <w:szCs w:val="24"/>
      <w:lang w:eastAsia="zh-TW"/>
    </w:rPr>
  </w:style>
  <w:style w:type="character" w:styleId="a5">
    <w:name w:val="Hyperlink"/>
    <w:basedOn w:val="a0"/>
    <w:rsid w:val="00346044"/>
    <w:rPr>
      <w:color w:val="0000FF"/>
      <w:u w:val="single"/>
    </w:rPr>
  </w:style>
  <w:style w:type="paragraph" w:styleId="a6">
    <w:name w:val="header"/>
    <w:basedOn w:val="a"/>
    <w:link w:val="a7"/>
    <w:uiPriority w:val="99"/>
    <w:unhideWhenUsed/>
    <w:rsid w:val="00D06B98"/>
    <w:pPr>
      <w:tabs>
        <w:tab w:val="center" w:pos="4153"/>
        <w:tab w:val="right" w:pos="8306"/>
      </w:tabs>
      <w:snapToGrid w:val="0"/>
    </w:pPr>
    <w:rPr>
      <w:sz w:val="20"/>
      <w:szCs w:val="20"/>
    </w:rPr>
  </w:style>
  <w:style w:type="character" w:customStyle="1" w:styleId="a7">
    <w:name w:val="頁首 字元"/>
    <w:basedOn w:val="a0"/>
    <w:link w:val="a6"/>
    <w:uiPriority w:val="99"/>
    <w:rsid w:val="00D06B98"/>
    <w:rPr>
      <w:rFonts w:ascii="Times New Roman" w:eastAsia="新細明體" w:hAnsi="Times New Roman" w:cs="Times New Roman"/>
      <w:sz w:val="20"/>
      <w:szCs w:val="20"/>
      <w:lang w:eastAsia="zh-TW"/>
    </w:rPr>
  </w:style>
  <w:style w:type="paragraph" w:styleId="a8">
    <w:name w:val="footer"/>
    <w:basedOn w:val="a"/>
    <w:link w:val="a9"/>
    <w:uiPriority w:val="99"/>
    <w:unhideWhenUsed/>
    <w:rsid w:val="00D06B98"/>
    <w:pPr>
      <w:tabs>
        <w:tab w:val="center" w:pos="4153"/>
        <w:tab w:val="right" w:pos="8306"/>
      </w:tabs>
      <w:snapToGrid w:val="0"/>
    </w:pPr>
    <w:rPr>
      <w:sz w:val="20"/>
      <w:szCs w:val="20"/>
    </w:rPr>
  </w:style>
  <w:style w:type="character" w:customStyle="1" w:styleId="a9">
    <w:name w:val="頁尾 字元"/>
    <w:basedOn w:val="a0"/>
    <w:link w:val="a8"/>
    <w:uiPriority w:val="99"/>
    <w:rsid w:val="00D06B98"/>
    <w:rPr>
      <w:rFonts w:ascii="Times New Roman" w:eastAsia="新細明體" w:hAnsi="Times New Roman" w:cs="Times New Roman"/>
      <w:sz w:val="20"/>
      <w:szCs w:val="20"/>
      <w:lang w:eastAsia="zh-TW"/>
    </w:rPr>
  </w:style>
  <w:style w:type="character" w:customStyle="1" w:styleId="Heading1Spacing0pt">
    <w:name w:val="Heading #1 + Spacing 0 pt"/>
    <w:basedOn w:val="a0"/>
    <w:uiPriority w:val="99"/>
    <w:rsid w:val="008C2BEA"/>
    <w:rPr>
      <w:rFonts w:ascii="新細明體" w:eastAsia="新細明體" w:cs="新細明體"/>
      <w:spacing w:val="0"/>
      <w:sz w:val="26"/>
      <w:szCs w:val="26"/>
      <w:shd w:val="clear" w:color="auto" w:fill="FFFFFF"/>
    </w:rPr>
  </w:style>
  <w:style w:type="character" w:customStyle="1" w:styleId="Bodytext2Spacing2pt">
    <w:name w:val="Body text (2) + Spacing 2 pt"/>
    <w:basedOn w:val="a0"/>
    <w:uiPriority w:val="99"/>
    <w:rsid w:val="008C2BEA"/>
    <w:rPr>
      <w:rFonts w:ascii="新細明體" w:eastAsia="新細明體" w:cs="新細明體"/>
      <w:spacing w:val="40"/>
      <w:shd w:val="clear" w:color="auto" w:fill="FFFFFF"/>
    </w:rPr>
  </w:style>
  <w:style w:type="character" w:customStyle="1" w:styleId="Heading1">
    <w:name w:val="Heading #1_"/>
    <w:basedOn w:val="a0"/>
    <w:link w:val="Heading10"/>
    <w:uiPriority w:val="99"/>
    <w:locked/>
    <w:rsid w:val="00A02AC0"/>
    <w:rPr>
      <w:rFonts w:ascii="新細明體" w:eastAsia="新細明體" w:cs="新細明體"/>
      <w:spacing w:val="30"/>
      <w:sz w:val="26"/>
      <w:szCs w:val="26"/>
      <w:shd w:val="clear" w:color="auto" w:fill="FFFFFF"/>
    </w:rPr>
  </w:style>
  <w:style w:type="paragraph" w:customStyle="1" w:styleId="Heading10">
    <w:name w:val="Heading #1"/>
    <w:basedOn w:val="a"/>
    <w:link w:val="Heading1"/>
    <w:uiPriority w:val="99"/>
    <w:rsid w:val="00A02AC0"/>
    <w:pPr>
      <w:shd w:val="clear" w:color="auto" w:fill="FFFFFF"/>
      <w:spacing w:before="60" w:after="420" w:line="240" w:lineRule="atLeast"/>
      <w:jc w:val="center"/>
      <w:outlineLvl w:val="0"/>
    </w:pPr>
    <w:rPr>
      <w:rFonts w:ascii="新細明體" w:hAnsiTheme="minorHAnsi" w:cs="新細明體"/>
      <w:spacing w:val="30"/>
      <w:sz w:val="26"/>
      <w:szCs w:val="26"/>
      <w:lang w:eastAsia="zh-CN"/>
    </w:rPr>
  </w:style>
  <w:style w:type="paragraph" w:customStyle="1" w:styleId="Default">
    <w:name w:val="Default"/>
    <w:rsid w:val="00357710"/>
    <w:pPr>
      <w:widowControl w:val="0"/>
      <w:autoSpaceDE w:val="0"/>
      <w:autoSpaceDN w:val="0"/>
      <w:adjustRightInd w:val="0"/>
    </w:pPr>
    <w:rPr>
      <w:rFonts w:ascii="Times New Roman" w:eastAsia="SimSun" w:hAnsi="Times New Roman" w:cs="Times New Roman"/>
      <w:color w:val="000000"/>
      <w:kern w:val="0"/>
      <w:sz w:val="24"/>
      <w:szCs w:val="24"/>
    </w:rPr>
  </w:style>
  <w:style w:type="paragraph" w:styleId="aa">
    <w:name w:val="List Paragraph"/>
    <w:basedOn w:val="a"/>
    <w:link w:val="ab"/>
    <w:uiPriority w:val="34"/>
    <w:qFormat/>
    <w:rsid w:val="00F32D60"/>
    <w:pPr>
      <w:ind w:leftChars="200" w:left="480"/>
    </w:pPr>
    <w:rPr>
      <w:rFonts w:ascii="Calibri" w:hAnsi="Calibri"/>
      <w:szCs w:val="22"/>
    </w:rPr>
  </w:style>
  <w:style w:type="character" w:customStyle="1" w:styleId="ab">
    <w:name w:val="清單段落 字元"/>
    <w:link w:val="aa"/>
    <w:uiPriority w:val="34"/>
    <w:locked/>
    <w:rsid w:val="00F32D60"/>
    <w:rPr>
      <w:rFonts w:ascii="Calibri" w:eastAsia="新細明體" w:hAnsi="Calibri" w:cs="Times New Roman"/>
      <w:sz w:val="24"/>
      <w:szCs w:val="22"/>
      <w:lang w:eastAsia="zh-TW"/>
    </w:rPr>
  </w:style>
  <w:style w:type="character" w:styleId="ac">
    <w:name w:val="FollowedHyperlink"/>
    <w:basedOn w:val="a0"/>
    <w:uiPriority w:val="99"/>
    <w:semiHidden/>
    <w:unhideWhenUsed/>
    <w:rsid w:val="00205480"/>
    <w:rPr>
      <w:color w:val="800080" w:themeColor="followedHyperlink"/>
      <w:u w:val="single"/>
    </w:rPr>
  </w:style>
  <w:style w:type="character" w:customStyle="1" w:styleId="cnnewstitle1">
    <w:name w:val="cn_news_title1"/>
    <w:basedOn w:val="a0"/>
    <w:rsid w:val="00567221"/>
    <w:rPr>
      <w:rFonts w:ascii="新細明體" w:eastAsia="新細明體" w:hAnsi="新細明體" w:hint="eastAsia"/>
      <w:b/>
      <w:bCs/>
      <w:color w:val="4C95C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44"/>
    <w:pPr>
      <w:widowControl w:val="0"/>
    </w:pPr>
    <w:rPr>
      <w:rFonts w:ascii="Times New Roman" w:eastAsia="新細明體"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044"/>
    <w:pPr>
      <w:jc w:val="center"/>
    </w:pPr>
    <w:rPr>
      <w:sz w:val="32"/>
    </w:rPr>
  </w:style>
  <w:style w:type="character" w:customStyle="1" w:styleId="a4">
    <w:name w:val="本文 字元"/>
    <w:basedOn w:val="a0"/>
    <w:link w:val="a3"/>
    <w:rsid w:val="00346044"/>
    <w:rPr>
      <w:rFonts w:ascii="Times New Roman" w:eastAsia="新細明體" w:hAnsi="Times New Roman" w:cs="Times New Roman"/>
      <w:sz w:val="32"/>
      <w:szCs w:val="24"/>
      <w:lang w:eastAsia="zh-TW"/>
    </w:rPr>
  </w:style>
  <w:style w:type="character" w:styleId="a5">
    <w:name w:val="Hyperlink"/>
    <w:basedOn w:val="a0"/>
    <w:rsid w:val="00346044"/>
    <w:rPr>
      <w:color w:val="0000FF"/>
      <w:u w:val="single"/>
    </w:rPr>
  </w:style>
  <w:style w:type="paragraph" w:styleId="a6">
    <w:name w:val="header"/>
    <w:basedOn w:val="a"/>
    <w:link w:val="a7"/>
    <w:uiPriority w:val="99"/>
    <w:unhideWhenUsed/>
    <w:rsid w:val="00D06B98"/>
    <w:pPr>
      <w:tabs>
        <w:tab w:val="center" w:pos="4153"/>
        <w:tab w:val="right" w:pos="8306"/>
      </w:tabs>
      <w:snapToGrid w:val="0"/>
    </w:pPr>
    <w:rPr>
      <w:sz w:val="20"/>
      <w:szCs w:val="20"/>
    </w:rPr>
  </w:style>
  <w:style w:type="character" w:customStyle="1" w:styleId="a7">
    <w:name w:val="頁首 字元"/>
    <w:basedOn w:val="a0"/>
    <w:link w:val="a6"/>
    <w:uiPriority w:val="99"/>
    <w:rsid w:val="00D06B98"/>
    <w:rPr>
      <w:rFonts w:ascii="Times New Roman" w:eastAsia="新細明體" w:hAnsi="Times New Roman" w:cs="Times New Roman"/>
      <w:sz w:val="20"/>
      <w:szCs w:val="20"/>
      <w:lang w:eastAsia="zh-TW"/>
    </w:rPr>
  </w:style>
  <w:style w:type="paragraph" w:styleId="a8">
    <w:name w:val="footer"/>
    <w:basedOn w:val="a"/>
    <w:link w:val="a9"/>
    <w:uiPriority w:val="99"/>
    <w:unhideWhenUsed/>
    <w:rsid w:val="00D06B98"/>
    <w:pPr>
      <w:tabs>
        <w:tab w:val="center" w:pos="4153"/>
        <w:tab w:val="right" w:pos="8306"/>
      </w:tabs>
      <w:snapToGrid w:val="0"/>
    </w:pPr>
    <w:rPr>
      <w:sz w:val="20"/>
      <w:szCs w:val="20"/>
    </w:rPr>
  </w:style>
  <w:style w:type="character" w:customStyle="1" w:styleId="a9">
    <w:name w:val="頁尾 字元"/>
    <w:basedOn w:val="a0"/>
    <w:link w:val="a8"/>
    <w:uiPriority w:val="99"/>
    <w:rsid w:val="00D06B98"/>
    <w:rPr>
      <w:rFonts w:ascii="Times New Roman" w:eastAsia="新細明體" w:hAnsi="Times New Roman" w:cs="Times New Roman"/>
      <w:sz w:val="20"/>
      <w:szCs w:val="20"/>
      <w:lang w:eastAsia="zh-TW"/>
    </w:rPr>
  </w:style>
  <w:style w:type="character" w:customStyle="1" w:styleId="Heading1Spacing0pt">
    <w:name w:val="Heading #1 + Spacing 0 pt"/>
    <w:basedOn w:val="a0"/>
    <w:uiPriority w:val="99"/>
    <w:rsid w:val="008C2BEA"/>
    <w:rPr>
      <w:rFonts w:ascii="新細明體" w:eastAsia="新細明體" w:cs="新細明體"/>
      <w:spacing w:val="0"/>
      <w:sz w:val="26"/>
      <w:szCs w:val="26"/>
      <w:shd w:val="clear" w:color="auto" w:fill="FFFFFF"/>
    </w:rPr>
  </w:style>
  <w:style w:type="character" w:customStyle="1" w:styleId="Bodytext2Spacing2pt">
    <w:name w:val="Body text (2) + Spacing 2 pt"/>
    <w:basedOn w:val="a0"/>
    <w:uiPriority w:val="99"/>
    <w:rsid w:val="008C2BEA"/>
    <w:rPr>
      <w:rFonts w:ascii="新細明體" w:eastAsia="新細明體" w:cs="新細明體"/>
      <w:spacing w:val="40"/>
      <w:shd w:val="clear" w:color="auto" w:fill="FFFFFF"/>
    </w:rPr>
  </w:style>
  <w:style w:type="character" w:customStyle="1" w:styleId="Heading1">
    <w:name w:val="Heading #1_"/>
    <w:basedOn w:val="a0"/>
    <w:link w:val="Heading10"/>
    <w:uiPriority w:val="99"/>
    <w:locked/>
    <w:rsid w:val="00A02AC0"/>
    <w:rPr>
      <w:rFonts w:ascii="新細明體" w:eastAsia="新細明體" w:cs="新細明體"/>
      <w:spacing w:val="30"/>
      <w:sz w:val="26"/>
      <w:szCs w:val="26"/>
      <w:shd w:val="clear" w:color="auto" w:fill="FFFFFF"/>
    </w:rPr>
  </w:style>
  <w:style w:type="paragraph" w:customStyle="1" w:styleId="Heading10">
    <w:name w:val="Heading #1"/>
    <w:basedOn w:val="a"/>
    <w:link w:val="Heading1"/>
    <w:uiPriority w:val="99"/>
    <w:rsid w:val="00A02AC0"/>
    <w:pPr>
      <w:shd w:val="clear" w:color="auto" w:fill="FFFFFF"/>
      <w:spacing w:before="60" w:after="420" w:line="240" w:lineRule="atLeast"/>
      <w:jc w:val="center"/>
      <w:outlineLvl w:val="0"/>
    </w:pPr>
    <w:rPr>
      <w:rFonts w:ascii="新細明體" w:hAnsiTheme="minorHAnsi" w:cs="新細明體"/>
      <w:spacing w:val="30"/>
      <w:sz w:val="26"/>
      <w:szCs w:val="26"/>
      <w:lang w:eastAsia="zh-CN"/>
    </w:rPr>
  </w:style>
  <w:style w:type="paragraph" w:customStyle="1" w:styleId="Default">
    <w:name w:val="Default"/>
    <w:rsid w:val="00357710"/>
    <w:pPr>
      <w:widowControl w:val="0"/>
      <w:autoSpaceDE w:val="0"/>
      <w:autoSpaceDN w:val="0"/>
      <w:adjustRightInd w:val="0"/>
    </w:pPr>
    <w:rPr>
      <w:rFonts w:ascii="Times New Roman" w:eastAsia="SimSun" w:hAnsi="Times New Roman" w:cs="Times New Roman"/>
      <w:color w:val="000000"/>
      <w:kern w:val="0"/>
      <w:sz w:val="24"/>
      <w:szCs w:val="24"/>
    </w:rPr>
  </w:style>
  <w:style w:type="paragraph" w:styleId="aa">
    <w:name w:val="List Paragraph"/>
    <w:basedOn w:val="a"/>
    <w:link w:val="ab"/>
    <w:uiPriority w:val="34"/>
    <w:qFormat/>
    <w:rsid w:val="00F32D60"/>
    <w:pPr>
      <w:ind w:leftChars="200" w:left="480"/>
    </w:pPr>
    <w:rPr>
      <w:rFonts w:ascii="Calibri" w:hAnsi="Calibri"/>
      <w:szCs w:val="22"/>
    </w:rPr>
  </w:style>
  <w:style w:type="character" w:customStyle="1" w:styleId="ab">
    <w:name w:val="清單段落 字元"/>
    <w:link w:val="aa"/>
    <w:uiPriority w:val="34"/>
    <w:locked/>
    <w:rsid w:val="00F32D60"/>
    <w:rPr>
      <w:rFonts w:ascii="Calibri" w:eastAsia="新細明體" w:hAnsi="Calibri" w:cs="Times New Roman"/>
      <w:sz w:val="24"/>
      <w:szCs w:val="22"/>
      <w:lang w:eastAsia="zh-TW"/>
    </w:rPr>
  </w:style>
  <w:style w:type="character" w:styleId="ac">
    <w:name w:val="FollowedHyperlink"/>
    <w:basedOn w:val="a0"/>
    <w:uiPriority w:val="99"/>
    <w:semiHidden/>
    <w:unhideWhenUsed/>
    <w:rsid w:val="00205480"/>
    <w:rPr>
      <w:color w:val="800080" w:themeColor="followedHyperlink"/>
      <w:u w:val="single"/>
    </w:rPr>
  </w:style>
  <w:style w:type="character" w:customStyle="1" w:styleId="cnnewstitle1">
    <w:name w:val="cn_news_title1"/>
    <w:basedOn w:val="a0"/>
    <w:rsid w:val="00567221"/>
    <w:rPr>
      <w:rFonts w:ascii="新細明體" w:eastAsia="新細明體" w:hAnsi="新細明體" w:hint="eastAsia"/>
      <w:b/>
      <w:bCs/>
      <w:color w:val="4C95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827">
      <w:bodyDiv w:val="1"/>
      <w:marLeft w:val="0"/>
      <w:marRight w:val="0"/>
      <w:marTop w:val="0"/>
      <w:marBottom w:val="0"/>
      <w:divBdr>
        <w:top w:val="none" w:sz="0" w:space="0" w:color="auto"/>
        <w:left w:val="none" w:sz="0" w:space="0" w:color="auto"/>
        <w:bottom w:val="none" w:sz="0" w:space="0" w:color="auto"/>
        <w:right w:val="none" w:sz="0" w:space="0" w:color="auto"/>
      </w:divBdr>
    </w:div>
    <w:div w:id="1226529216">
      <w:bodyDiv w:val="1"/>
      <w:marLeft w:val="0"/>
      <w:marRight w:val="0"/>
      <w:marTop w:val="0"/>
      <w:marBottom w:val="0"/>
      <w:divBdr>
        <w:top w:val="none" w:sz="0" w:space="0" w:color="auto"/>
        <w:left w:val="none" w:sz="0" w:space="0" w:color="auto"/>
        <w:bottom w:val="none" w:sz="0" w:space="0" w:color="auto"/>
        <w:right w:val="none" w:sz="0" w:space="0" w:color="auto"/>
      </w:divBdr>
    </w:div>
    <w:div w:id="178677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edt.gov.mo/public/data/cepa/tig/attach/005b2d0f887107a3f3e22af58f0651c903da30fa/en/Rules_en.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cecodce@dsedt.gov.mo" TargetMode="External"/><Relationship Id="rId5" Type="http://schemas.openxmlformats.org/officeDocument/2006/relationships/webSettings" Target="webSettings.xml"/><Relationship Id="rId10" Type="http://schemas.openxmlformats.org/officeDocument/2006/relationships/hyperlink" Target="https://www.dsedt.gov.mo/public/data/form/download3/attach/66ce45042a3170d6bcc7a9bc25c50a8c9be90c03/en/ceparule_applyfm_pt.pdf" TargetMode="External"/><Relationship Id="rId4" Type="http://schemas.openxmlformats.org/officeDocument/2006/relationships/settings" Target="settings.xml"/><Relationship Id="rId9" Type="http://schemas.openxmlformats.org/officeDocument/2006/relationships/hyperlink" Target="https://www.dsedt.gov.mo/public/data/form/download3/attach/66ce45042a3170d6bcc7a9bc25c50a8c9be90c03/en/ceparule_applyfm_pt.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568</Words>
  <Characters>3241</Characters>
  <Application>Microsoft Office Word</Application>
  <DocSecurity>0</DocSecurity>
  <Lines>27</Lines>
  <Paragraphs>7</Paragraphs>
  <ScaleCrop>false</ScaleCrop>
  <Company>DSE</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Macau Economic Services</dc:creator>
  <cp:lastModifiedBy>DSE USER</cp:lastModifiedBy>
  <cp:revision>4</cp:revision>
  <cp:lastPrinted>2019-05-23T01:52:00Z</cp:lastPrinted>
  <dcterms:created xsi:type="dcterms:W3CDTF">2021-01-12T03:41:00Z</dcterms:created>
  <dcterms:modified xsi:type="dcterms:W3CDTF">2021-01-12T07:21:00Z</dcterms:modified>
</cp:coreProperties>
</file>